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5C" w:rsidRDefault="00C60D5C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33D7E" w:rsidRPr="003107DE" w:rsidRDefault="00C33D7E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C33D7E" w:rsidRPr="003107DE" w:rsidSect="003107DE">
          <w:headerReference w:type="default" r:id="rId8"/>
          <w:type w:val="continuous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:rsidR="00C60D5C" w:rsidRPr="003107DE" w:rsidRDefault="00C60D5C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07DE">
        <w:rPr>
          <w:rFonts w:ascii="Arial" w:hAnsi="Arial" w:cs="Arial"/>
          <w:sz w:val="24"/>
          <w:szCs w:val="24"/>
        </w:rPr>
        <w:object w:dxaOrig="15165" w:dyaOrig="8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35pt;height:248.75pt" o:ole="">
            <v:imagedata r:id="rId9" o:title=""/>
          </v:shape>
          <o:OLEObject Type="Embed" ProgID="Visio.Drawing.15" ShapeID="_x0000_i1025" DrawAspect="Content" ObjectID="_1496784650" r:id="rId10"/>
        </w:object>
      </w:r>
    </w:p>
    <w:p w:rsidR="00C60D5C" w:rsidRPr="00242A16" w:rsidRDefault="00C60D5C" w:rsidP="00006037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 w:rsidRPr="00242A16">
        <w:rPr>
          <w:rFonts w:ascii="Arial" w:hAnsi="Arial" w:cs="Arial"/>
          <w:i/>
          <w:sz w:val="20"/>
          <w:szCs w:val="24"/>
        </w:rPr>
        <w:t>Figura 1.</w:t>
      </w:r>
      <w:r w:rsidRPr="00242A16">
        <w:rPr>
          <w:rFonts w:ascii="Arial" w:hAnsi="Arial" w:cs="Arial"/>
          <w:sz w:val="20"/>
          <w:szCs w:val="24"/>
        </w:rPr>
        <w:t xml:space="preserve"> Esquema de relación entre habilidades cognitivas y habilidades cognitivo-lingüísticas, propuesto por </w:t>
      </w:r>
      <w:r w:rsidRPr="00242A16">
        <w:rPr>
          <w:rFonts w:ascii="Arial" w:hAnsi="Arial" w:cs="Arial"/>
          <w:sz w:val="20"/>
          <w:szCs w:val="24"/>
        </w:rPr>
        <w:fldChar w:fldCharType="begin"/>
      </w:r>
      <w:r w:rsidR="00D53088" w:rsidRPr="00242A16">
        <w:rPr>
          <w:rFonts w:ascii="Arial" w:hAnsi="Arial" w:cs="Arial"/>
          <w:sz w:val="20"/>
          <w:szCs w:val="24"/>
        </w:rPr>
        <w:instrText xml:space="preserve"> ADDIN ZOTERO_ITEM CSL_CITATION {"citationID":"27587boocm","properties":{"formattedCitation":"(Jorba et al., 2000)","plainCitation":"(Jorba et al., 2000)"},"citationItems":[{"id":41,"uris":["http://zotero.org/users/2424489/items/HFC8RETF"],"uri":["http://zotero.org/users/2424489/items/HFC8RETF"],"itemData":{"id":41,"type":"book","title":"Hablar y escribir para aprender: Uso de la lengua en situación de enseñanza-aprendizaje desde las áreas curriculares","publisher":"Editorial Síntesis","publisher-place":"Madrid, España","number-of-pages":"304","event-place":"Madrid, España","ISBN":"978-847-738-6216","language":"Castellano","author":[{"family":"Jorba","given":"Jaume"},{"family":"Gómez","given":"Isabel"},{"family":"Prat","given":"Angels"}],"issued":{"date-parts":[["2000"]]}}}],"schema":"https://github.com/citation-style-language/schema/raw/master/csl-citation.json"} </w:instrText>
      </w:r>
      <w:r w:rsidRPr="00242A16">
        <w:rPr>
          <w:rFonts w:ascii="Arial" w:hAnsi="Arial" w:cs="Arial"/>
          <w:sz w:val="20"/>
          <w:szCs w:val="24"/>
        </w:rPr>
        <w:fldChar w:fldCharType="separate"/>
      </w:r>
      <w:r w:rsidRPr="00242A16">
        <w:rPr>
          <w:rFonts w:ascii="Arial" w:hAnsi="Arial" w:cs="Arial"/>
          <w:sz w:val="20"/>
          <w:szCs w:val="24"/>
        </w:rPr>
        <w:t>(Jorba et al., 2000)</w:t>
      </w:r>
      <w:r w:rsidRPr="00242A16">
        <w:rPr>
          <w:rFonts w:ascii="Arial" w:hAnsi="Arial" w:cs="Arial"/>
          <w:sz w:val="20"/>
          <w:szCs w:val="24"/>
        </w:rPr>
        <w:fldChar w:fldCharType="end"/>
      </w:r>
      <w:r w:rsidRPr="00242A16">
        <w:rPr>
          <w:rFonts w:ascii="Arial" w:hAnsi="Arial" w:cs="Arial"/>
          <w:sz w:val="20"/>
          <w:szCs w:val="24"/>
        </w:rPr>
        <w:t>.</w:t>
      </w:r>
    </w:p>
    <w:p w:rsidR="00CD60B6" w:rsidRPr="003107DE" w:rsidRDefault="00CD60B6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D60B6" w:rsidRPr="003107DE" w:rsidRDefault="00CD60B6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  <w:sectPr w:rsidR="00CD60B6" w:rsidRPr="003107DE" w:rsidSect="003107DE">
          <w:type w:val="continuous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:rsidR="009A67FF" w:rsidRPr="003107DE" w:rsidRDefault="009A67FF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07DE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06C2B5EA" wp14:editId="76C99956">
            <wp:extent cx="4500000" cy="2340000"/>
            <wp:effectExtent l="0" t="0" r="15240" b="317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0503" w:rsidRPr="00C33D7E" w:rsidRDefault="00F8501E" w:rsidP="00006037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 w:rsidRPr="00C33D7E">
        <w:rPr>
          <w:rFonts w:ascii="Arial" w:hAnsi="Arial" w:cs="Arial"/>
          <w:i/>
          <w:sz w:val="20"/>
          <w:szCs w:val="24"/>
        </w:rPr>
        <w:t>Figura 2.</w:t>
      </w:r>
      <w:r w:rsidRPr="00C33D7E">
        <w:rPr>
          <w:rFonts w:ascii="Arial" w:hAnsi="Arial" w:cs="Arial"/>
          <w:sz w:val="20"/>
          <w:szCs w:val="24"/>
        </w:rPr>
        <w:t xml:space="preserve"> Resultados test de ideas previas y actividad final de resolución de problemas.</w:t>
      </w:r>
    </w:p>
    <w:p w:rsidR="00C33D7E" w:rsidRDefault="00C33D7E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A07D4" w:rsidRPr="003107DE" w:rsidRDefault="009A07D4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07DE"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inline distT="0" distB="0" distL="0" distR="0" wp14:anchorId="0B89A3E6" wp14:editId="3A616D92">
            <wp:extent cx="4500000" cy="2340000"/>
            <wp:effectExtent l="0" t="0" r="15240" b="317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07D4" w:rsidRPr="00C33D7E" w:rsidRDefault="009A07D4" w:rsidP="00006037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 w:rsidRPr="00C33D7E">
        <w:rPr>
          <w:rFonts w:ascii="Arial" w:hAnsi="Arial" w:cs="Arial"/>
          <w:i/>
          <w:sz w:val="20"/>
          <w:szCs w:val="24"/>
        </w:rPr>
        <w:t>Figura 3.</w:t>
      </w:r>
      <w:r w:rsidRPr="00C33D7E">
        <w:rPr>
          <w:rFonts w:ascii="Arial" w:hAnsi="Arial" w:cs="Arial"/>
          <w:sz w:val="20"/>
          <w:szCs w:val="24"/>
        </w:rPr>
        <w:t xml:space="preserve"> Resultados textos descriptivos iniciales y finales.</w:t>
      </w:r>
    </w:p>
    <w:p w:rsidR="009A07D4" w:rsidRPr="003107DE" w:rsidRDefault="009A07D4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A07D4" w:rsidRPr="003107DE" w:rsidRDefault="002A7A0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107D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579FB2D0" wp14:editId="249BB639">
            <wp:extent cx="4500000" cy="2340000"/>
            <wp:effectExtent l="0" t="0" r="15240" b="317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07D4" w:rsidRPr="00C33D7E" w:rsidRDefault="009A07D4" w:rsidP="00006037">
      <w:pPr>
        <w:spacing w:after="0" w:line="360" w:lineRule="auto"/>
        <w:jc w:val="center"/>
        <w:rPr>
          <w:rFonts w:ascii="Arial" w:hAnsi="Arial" w:cs="Arial"/>
          <w:sz w:val="20"/>
          <w:szCs w:val="24"/>
        </w:rPr>
      </w:pPr>
      <w:r w:rsidRPr="00C33D7E">
        <w:rPr>
          <w:rFonts w:ascii="Arial" w:hAnsi="Arial" w:cs="Arial"/>
          <w:i/>
          <w:sz w:val="20"/>
          <w:szCs w:val="24"/>
        </w:rPr>
        <w:t>Figura 4.</w:t>
      </w:r>
      <w:r w:rsidRPr="00C33D7E">
        <w:rPr>
          <w:rFonts w:ascii="Arial" w:hAnsi="Arial" w:cs="Arial"/>
          <w:sz w:val="20"/>
          <w:szCs w:val="24"/>
        </w:rPr>
        <w:t xml:space="preserve"> Resultados textos explicativos iniciales y finales.</w:t>
      </w:r>
    </w:p>
    <w:p w:rsidR="009A07D4" w:rsidRPr="003107DE" w:rsidRDefault="009A07D4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2A16">
        <w:rPr>
          <w:rFonts w:ascii="Arial" w:hAnsi="Arial" w:cs="Arial"/>
          <w:i/>
          <w:sz w:val="24"/>
          <w:szCs w:val="24"/>
        </w:rPr>
        <w:lastRenderedPageBreak/>
        <w:t>Tabla 1.</w:t>
      </w:r>
      <w:r w:rsidRPr="003107DE">
        <w:rPr>
          <w:rFonts w:ascii="Arial" w:hAnsi="Arial" w:cs="Arial"/>
          <w:sz w:val="24"/>
          <w:szCs w:val="24"/>
        </w:rPr>
        <w:t xml:space="preserve"> Rúbrica de evaluación test de ideas previas y resolución de problemas.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7288"/>
      </w:tblGrid>
      <w:tr w:rsidR="00006037" w:rsidRPr="00242A16" w:rsidTr="00FF13A5">
        <w:trPr>
          <w:trHeight w:val="253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CRITERIO</w:t>
            </w:r>
          </w:p>
        </w:tc>
        <w:tc>
          <w:tcPr>
            <w:tcW w:w="38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PARÁMETRO</w:t>
            </w:r>
          </w:p>
        </w:tc>
      </w:tr>
      <w:tr w:rsidR="00006037" w:rsidRPr="00242A16" w:rsidTr="00FF13A5">
        <w:trPr>
          <w:trHeight w:val="253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Análisis de la situación</w:t>
            </w: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Explica de forma clara y detallada lo que piensa que sucede en cada una de las situaciones propuestas.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Demuestra en su respuesta un análisis coherente con el enunciado de cada una de las situaciones.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Conocimiento sobre gases y sus propiedades</w:t>
            </w: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Identifica las sustancias gaseosas presentes en el ambiente, utilizando lenguaje y terminología adecuada.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Relaciona las sustancias gaseosas con sus propiedades físicas observables (macroscópicas).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Identifica el comportamiento de las propiedades generales de la materia aplicadas a los gases.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Propiedades microscópicas de los gases</w:t>
            </w: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Representa adecuadamente las partículas de gas en las gráficas propuestas para cada caso.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Identifica y explica coherentemente el comportamiento microscópico de los gases.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Modificación de variables en el estudio de los gases</w:t>
            </w: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Reconoce lo que sucede al modificar las condiciones de presión, volumen y temperatura en un gas.</w:t>
            </w:r>
          </w:p>
        </w:tc>
      </w:tr>
      <w:tr w:rsidR="00006037" w:rsidRPr="00242A16" w:rsidTr="00FF13A5">
        <w:trPr>
          <w:trHeight w:val="20"/>
        </w:trPr>
        <w:tc>
          <w:tcPr>
            <w:tcW w:w="11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Relaciona las variables de presión, volumen y temperatura con el movimiento de las partículas de un gas.</w:t>
            </w:r>
          </w:p>
        </w:tc>
      </w:tr>
    </w:tbl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06037" w:rsidRPr="003107DE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2A16">
        <w:rPr>
          <w:rFonts w:ascii="Arial" w:hAnsi="Arial" w:cs="Arial"/>
          <w:i/>
          <w:sz w:val="24"/>
          <w:szCs w:val="24"/>
        </w:rPr>
        <w:t>Tabla 2.</w:t>
      </w:r>
      <w:r w:rsidRPr="003107DE">
        <w:rPr>
          <w:rFonts w:ascii="Arial" w:hAnsi="Arial" w:cs="Arial"/>
          <w:sz w:val="24"/>
          <w:szCs w:val="24"/>
        </w:rPr>
        <w:t xml:space="preserve"> Rúbrica de evaluación para textos descriptivos.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7472"/>
      </w:tblGrid>
      <w:tr w:rsidR="00006037" w:rsidRPr="00242A16" w:rsidTr="00FF13A5">
        <w:trPr>
          <w:trHeight w:val="253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CRITERIO</w:t>
            </w:r>
          </w:p>
        </w:tc>
        <w:tc>
          <w:tcPr>
            <w:tcW w:w="3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PARÁMETRO</w:t>
            </w:r>
          </w:p>
        </w:tc>
      </w:tr>
      <w:tr w:rsidR="00006037" w:rsidRPr="00242A16" w:rsidTr="00FF13A5">
        <w:trPr>
          <w:trHeight w:val="253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Pertinencia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Las proposiciones o enunciados son coherentes y se refieren al objeto o fenómeno de la descripción.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Se expresa claramente, manifestando en el escrito el tema y sus intenciones, utilizando un lenguaje adecuado.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Compleción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El número de propiedades, características y observaciones son suficientes para caracterizar el objeto de descripción.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Incluye material gráfico que complemente la información del texto.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Precisión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Las propiedades, características y observaciones son aceptables para la comunidad científica.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Usa con precisión los vocablos de acuerdo con el área de conocimiento, distinguiendo significados científicos y comunes.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Volumen del texto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En el texto se evidencia un volumen de conocimiento acorde con el nivel de la descripción.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El volumen del texto descarta aspectos irrelevantes y se concentra en la información concreta de la descripción.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Organización del texto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En el texto se evidencia una organización acorde al modelo descriptivo: presentación del concepto y posterior desarrollo.</w:t>
            </w:r>
          </w:p>
        </w:tc>
      </w:tr>
      <w:tr w:rsidR="00006037" w:rsidRPr="00242A16" w:rsidTr="00FF13A5">
        <w:trPr>
          <w:trHeight w:val="2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3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Utiliza títulos, subtítulos u otras indicaciones graficas que orienten la lectura adecuadamente.</w:t>
            </w:r>
          </w:p>
        </w:tc>
      </w:tr>
    </w:tbl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Default="00006037" w:rsidP="00006037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006037" w:rsidRPr="003107DE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06037">
        <w:rPr>
          <w:rFonts w:ascii="Arial" w:hAnsi="Arial" w:cs="Arial"/>
          <w:i/>
          <w:sz w:val="24"/>
          <w:szCs w:val="24"/>
        </w:rPr>
        <w:lastRenderedPageBreak/>
        <w:t>Tabla 3.</w:t>
      </w:r>
      <w:r w:rsidRPr="003107DE">
        <w:rPr>
          <w:rFonts w:ascii="Arial" w:hAnsi="Arial" w:cs="Arial"/>
          <w:sz w:val="24"/>
          <w:szCs w:val="24"/>
        </w:rPr>
        <w:t xml:space="preserve"> Rúbrica de evaluación para textos explicativos.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7472"/>
      </w:tblGrid>
      <w:tr w:rsidR="00006037" w:rsidRPr="00242A16" w:rsidTr="00FF13A5">
        <w:trPr>
          <w:trHeight w:val="253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CRITERIO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PARÁMETRO</w:t>
            </w:r>
          </w:p>
        </w:tc>
      </w:tr>
      <w:tr w:rsidR="00006037" w:rsidRPr="00242A16" w:rsidTr="00FF13A5">
        <w:trPr>
          <w:trHeight w:val="253"/>
        </w:trPr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Pertinencia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Las razones o argumentos son coherentes y se refieren al objeto o fenómeno de la explicación.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Se expresa claramente, manifestando en el escrito el tema y sus intenciones, utilizando un lenguaje adecuado.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Compleción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El número de razones argumentadas, son suficientes para modificar el estado inicial de conocimiento.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Los argumentos se relacionan entre sí coherentemente incluyendo material adicional que complemente el texto.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Precisión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Las razones y argumentos son aceptables para la comunidad científica y el área de conocimiento.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Usa con precisión los vocablos de acuerdo con el área de conocimiento, distinguiendo significados científicos y comunes.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Volumen del texto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En el texto se evidencia un volumen de conocimiento acorde con el nivel de la explicación.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El volumen del texto descarta aspectos irrelevantes y se concentra en la información necesaria para la explicación.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Organización del texto</w:t>
            </w: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En el texto se evidencia una organización acorde al modelo explicativo: introducción y posterior desarrollo de las razones.</w:t>
            </w:r>
          </w:p>
        </w:tc>
      </w:tr>
      <w:tr w:rsidR="00006037" w:rsidRPr="00242A16" w:rsidTr="00FF13A5">
        <w:trPr>
          <w:trHeight w:val="20"/>
        </w:trPr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  <w:tc>
          <w:tcPr>
            <w:tcW w:w="7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037" w:rsidRPr="00242A16" w:rsidRDefault="00006037" w:rsidP="00006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242A16">
              <w:rPr>
                <w:rFonts w:ascii="Arial" w:eastAsia="Times New Roman" w:hAnsi="Arial" w:cs="Arial"/>
                <w:color w:val="000000"/>
                <w:lang w:eastAsia="es-CO"/>
              </w:rPr>
              <w:t>Utiliza títulos, subtítulos u otras indicaciones graficas que orienten la lectura adecuadamente.</w:t>
            </w:r>
          </w:p>
        </w:tc>
      </w:tr>
    </w:tbl>
    <w:p w:rsidR="00006037" w:rsidRPr="003107DE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006037" w:rsidRPr="003107DE" w:rsidRDefault="00006037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25848" w:rsidRPr="003107DE" w:rsidRDefault="00925848" w:rsidP="0000603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925848" w:rsidRPr="003107DE" w:rsidSect="003107DE">
      <w:type w:val="continuous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21" w:rsidRDefault="00ED5F21" w:rsidP="00537283">
      <w:pPr>
        <w:spacing w:after="0" w:line="240" w:lineRule="auto"/>
      </w:pPr>
      <w:r>
        <w:separator/>
      </w:r>
    </w:p>
  </w:endnote>
  <w:endnote w:type="continuationSeparator" w:id="0">
    <w:p w:rsidR="00ED5F21" w:rsidRDefault="00ED5F21" w:rsidP="0053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21" w:rsidRDefault="00ED5F21" w:rsidP="00537283">
      <w:pPr>
        <w:spacing w:after="0" w:line="240" w:lineRule="auto"/>
      </w:pPr>
      <w:r>
        <w:separator/>
      </w:r>
    </w:p>
  </w:footnote>
  <w:footnote w:type="continuationSeparator" w:id="0">
    <w:p w:rsidR="00ED5F21" w:rsidRDefault="00ED5F21" w:rsidP="0053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744615"/>
      <w:docPartObj>
        <w:docPartGallery w:val="Page Numbers (Top of Page)"/>
        <w:docPartUnique/>
      </w:docPartObj>
    </w:sdtPr>
    <w:sdtEndPr/>
    <w:sdtContent>
      <w:p w:rsidR="003107DE" w:rsidRDefault="003107D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037" w:rsidRPr="00006037">
          <w:rPr>
            <w:noProof/>
            <w:lang w:val="es-ES"/>
          </w:rPr>
          <w:t>4</w:t>
        </w:r>
        <w:r>
          <w:fldChar w:fldCharType="end"/>
        </w:r>
      </w:p>
    </w:sdtContent>
  </w:sdt>
  <w:p w:rsidR="003107DE" w:rsidRDefault="003107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AFF"/>
    <w:multiLevelType w:val="hybridMultilevel"/>
    <w:tmpl w:val="846C92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8F"/>
    <w:rsid w:val="00006037"/>
    <w:rsid w:val="00010F47"/>
    <w:rsid w:val="001913B4"/>
    <w:rsid w:val="001F584A"/>
    <w:rsid w:val="002226FE"/>
    <w:rsid w:val="00242A16"/>
    <w:rsid w:val="002A7A07"/>
    <w:rsid w:val="002E4BC1"/>
    <w:rsid w:val="002F04C3"/>
    <w:rsid w:val="003107DE"/>
    <w:rsid w:val="00311142"/>
    <w:rsid w:val="003334EA"/>
    <w:rsid w:val="003F3EDF"/>
    <w:rsid w:val="00452F47"/>
    <w:rsid w:val="00460EDA"/>
    <w:rsid w:val="00477A8A"/>
    <w:rsid w:val="00537283"/>
    <w:rsid w:val="00586424"/>
    <w:rsid w:val="005B7165"/>
    <w:rsid w:val="006C21E9"/>
    <w:rsid w:val="008C31A8"/>
    <w:rsid w:val="0090366A"/>
    <w:rsid w:val="00925848"/>
    <w:rsid w:val="009A07D4"/>
    <w:rsid w:val="009A67FF"/>
    <w:rsid w:val="009B7313"/>
    <w:rsid w:val="009C7D13"/>
    <w:rsid w:val="00A70503"/>
    <w:rsid w:val="00AB47D3"/>
    <w:rsid w:val="00AE6F60"/>
    <w:rsid w:val="00AE75FF"/>
    <w:rsid w:val="00B100CA"/>
    <w:rsid w:val="00B77F03"/>
    <w:rsid w:val="00B82AD4"/>
    <w:rsid w:val="00B83F19"/>
    <w:rsid w:val="00B94266"/>
    <w:rsid w:val="00C33D7E"/>
    <w:rsid w:val="00C60D5C"/>
    <w:rsid w:val="00C64316"/>
    <w:rsid w:val="00CD60B6"/>
    <w:rsid w:val="00D13892"/>
    <w:rsid w:val="00D53088"/>
    <w:rsid w:val="00D633C8"/>
    <w:rsid w:val="00DC2839"/>
    <w:rsid w:val="00EC7F60"/>
    <w:rsid w:val="00ED432B"/>
    <w:rsid w:val="00ED5F21"/>
    <w:rsid w:val="00F2459F"/>
    <w:rsid w:val="00F321C6"/>
    <w:rsid w:val="00F8501E"/>
    <w:rsid w:val="00FC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3EA27B-378A-49AA-B1CE-68A21EB4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372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72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72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37283"/>
    <w:rPr>
      <w:color w:val="0563C1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9C7D13"/>
    <w:pPr>
      <w:spacing w:after="0" w:line="480" w:lineRule="auto"/>
      <w:ind w:left="720" w:hanging="720"/>
    </w:pPr>
  </w:style>
  <w:style w:type="paragraph" w:styleId="Prrafodelista">
    <w:name w:val="List Paragraph"/>
    <w:basedOn w:val="Normal"/>
    <w:uiPriority w:val="34"/>
    <w:qFormat/>
    <w:rsid w:val="00D530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F850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10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7DE"/>
  </w:style>
  <w:style w:type="paragraph" w:styleId="Piedepgina">
    <w:name w:val="footer"/>
    <w:basedOn w:val="Normal"/>
    <w:link w:val="PiedepginaCar"/>
    <w:uiPriority w:val="99"/>
    <w:unhideWhenUsed/>
    <w:rsid w:val="003107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Dibujo_de_Microsoft_Visio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Criterio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Ideas previas 1001</c:v>
                </c:pt>
                <c:pt idx="1">
                  <c:v>Actividad final 1001</c:v>
                </c:pt>
                <c:pt idx="2">
                  <c:v>Ideas previas 1002</c:v>
                </c:pt>
                <c:pt idx="3">
                  <c:v>Actividad final 1002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2.9318181818181817</c:v>
                </c:pt>
                <c:pt idx="1">
                  <c:v>3.8048780487804876</c:v>
                </c:pt>
                <c:pt idx="2">
                  <c:v>3.1666666666666665</c:v>
                </c:pt>
                <c:pt idx="3">
                  <c:v>3.7435897435897436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Criterio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Ideas previas 1001</c:v>
                </c:pt>
                <c:pt idx="1">
                  <c:v>Actividad final 1001</c:v>
                </c:pt>
                <c:pt idx="2">
                  <c:v>Ideas previas 1002</c:v>
                </c:pt>
                <c:pt idx="3">
                  <c:v>Actividad final 1002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1.9090909090909092</c:v>
                </c:pt>
                <c:pt idx="1">
                  <c:v>3.5853658536585367</c:v>
                </c:pt>
                <c:pt idx="2">
                  <c:v>2.4523809523809526</c:v>
                </c:pt>
                <c:pt idx="3">
                  <c:v>3.7179487179487181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Criterio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Ideas previas 1001</c:v>
                </c:pt>
                <c:pt idx="1">
                  <c:v>Actividad final 1001</c:v>
                </c:pt>
                <c:pt idx="2">
                  <c:v>Ideas previas 1002</c:v>
                </c:pt>
                <c:pt idx="3">
                  <c:v>Actividad final 1002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2.3863636363636362</c:v>
                </c:pt>
                <c:pt idx="1">
                  <c:v>3.2195121951219514</c:v>
                </c:pt>
                <c:pt idx="2">
                  <c:v>2.4761904761904763</c:v>
                </c:pt>
                <c:pt idx="3">
                  <c:v>3.2307692307692308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Criterio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Ideas previas 1001</c:v>
                </c:pt>
                <c:pt idx="1">
                  <c:v>Actividad final 1001</c:v>
                </c:pt>
                <c:pt idx="2">
                  <c:v>Ideas previas 1002</c:v>
                </c:pt>
                <c:pt idx="3">
                  <c:v>Actividad final 1002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1.9090909090909092</c:v>
                </c:pt>
                <c:pt idx="1">
                  <c:v>3.6829268292682928</c:v>
                </c:pt>
                <c:pt idx="2">
                  <c:v>2.2619047619047619</c:v>
                </c:pt>
                <c:pt idx="3">
                  <c:v>4.0526315789473681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455008288"/>
        <c:axId val="455006720"/>
      </c:barChart>
      <c:catAx>
        <c:axId val="455008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6720"/>
        <c:crosses val="autoZero"/>
        <c:auto val="1"/>
        <c:lblAlgn val="ctr"/>
        <c:lblOffset val="100"/>
        <c:noMultiLvlLbl val="0"/>
      </c:catAx>
      <c:valAx>
        <c:axId val="455006720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82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Criterio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3.0909090909090908</c:v>
                </c:pt>
                <c:pt idx="1">
                  <c:v>3.9310344827586206</c:v>
                </c:pt>
                <c:pt idx="2">
                  <c:v>2.8250000000000002</c:v>
                </c:pt>
                <c:pt idx="3">
                  <c:v>3.9459459459459461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Criterio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2.1590909090909092</c:v>
                </c:pt>
                <c:pt idx="1">
                  <c:v>3.0344827586206895</c:v>
                </c:pt>
                <c:pt idx="2">
                  <c:v>2.0249999999999999</c:v>
                </c:pt>
                <c:pt idx="3">
                  <c:v>3.2972972972972974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Criterio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2.5454545454545454</c:v>
                </c:pt>
                <c:pt idx="1">
                  <c:v>3.103448275862069</c:v>
                </c:pt>
                <c:pt idx="2">
                  <c:v>1.9</c:v>
                </c:pt>
                <c:pt idx="3">
                  <c:v>3.3243243243243241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Criterio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2.0227272727272729</c:v>
                </c:pt>
                <c:pt idx="1">
                  <c:v>3.2068965517241379</c:v>
                </c:pt>
                <c:pt idx="2">
                  <c:v>2.1</c:v>
                </c:pt>
                <c:pt idx="3">
                  <c:v>3.1351351351351351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Criterio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  <c:pt idx="0">
                  <c:v>1.5681818181818181</c:v>
                </c:pt>
                <c:pt idx="1">
                  <c:v>3.1379310344827585</c:v>
                </c:pt>
                <c:pt idx="2">
                  <c:v>1.7250000000000001</c:v>
                </c:pt>
                <c:pt idx="3">
                  <c:v>2.9189189189189189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455006328"/>
        <c:axId val="455009072"/>
      </c:barChart>
      <c:catAx>
        <c:axId val="455006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9072"/>
        <c:crosses val="autoZero"/>
        <c:auto val="1"/>
        <c:lblAlgn val="ctr"/>
        <c:lblOffset val="100"/>
        <c:noMultiLvlLbl val="0"/>
      </c:catAx>
      <c:valAx>
        <c:axId val="455009072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6328"/>
        <c:crosses val="autoZero"/>
        <c:crossBetween val="between"/>
        <c:majorUnit val="1"/>
        <c:minorUnit val="1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4566059763034342"/>
          <c:w val="1"/>
          <c:h val="0.254339402369656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Criterio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2.3181818181818183</c:v>
                </c:pt>
                <c:pt idx="1">
                  <c:v>3.6585365853658538</c:v>
                </c:pt>
                <c:pt idx="2">
                  <c:v>2.6666666666666665</c:v>
                </c:pt>
                <c:pt idx="3">
                  <c:v>3.8461538461538463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Criterio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1.5909090909090908</c:v>
                </c:pt>
                <c:pt idx="1">
                  <c:v>3.4146341463414633</c:v>
                </c:pt>
                <c:pt idx="2">
                  <c:v>2.0512820512820511</c:v>
                </c:pt>
                <c:pt idx="3">
                  <c:v>3.4871794871794872</c:v>
                </c:pt>
              </c:numCache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Criterio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1.6818181818181819</c:v>
                </c:pt>
                <c:pt idx="1">
                  <c:v>3.2195121951219514</c:v>
                </c:pt>
                <c:pt idx="2">
                  <c:v>2.0512820512820511</c:v>
                </c:pt>
                <c:pt idx="3">
                  <c:v>3.2051282051282053</c:v>
                </c:pt>
              </c:numCache>
            </c:numRef>
          </c:val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Criterio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Hoja1!$E$2:$E$5</c:f>
              <c:numCache>
                <c:formatCode>General</c:formatCode>
                <c:ptCount val="4"/>
                <c:pt idx="0">
                  <c:v>1.6363636363636365</c:v>
                </c:pt>
                <c:pt idx="1">
                  <c:v>3.5853658536585367</c:v>
                </c:pt>
                <c:pt idx="2">
                  <c:v>2.358974358974359</c:v>
                </c:pt>
                <c:pt idx="3">
                  <c:v>3.641025641025641</c:v>
                </c:pt>
              </c:numCache>
            </c:numRef>
          </c:val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Criterio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Texto inicial 1001</c:v>
                </c:pt>
                <c:pt idx="1">
                  <c:v>Texto final 1001</c:v>
                </c:pt>
                <c:pt idx="2">
                  <c:v>Texto inicial 1002</c:v>
                </c:pt>
                <c:pt idx="3">
                  <c:v>Texto final 1001</c:v>
                </c:pt>
              </c:strCache>
            </c:strRef>
          </c:cat>
          <c:val>
            <c:numRef>
              <c:f>Hoja1!$F$2:$F$5</c:f>
              <c:numCache>
                <c:formatCode>General</c:formatCode>
                <c:ptCount val="4"/>
                <c:pt idx="0">
                  <c:v>1.3863636363636365</c:v>
                </c:pt>
                <c:pt idx="1">
                  <c:v>3.0731707317073171</c:v>
                </c:pt>
                <c:pt idx="2">
                  <c:v>1.8974358974358974</c:v>
                </c:pt>
                <c:pt idx="3">
                  <c:v>3.1538461538461537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455009856"/>
        <c:axId val="455009464"/>
      </c:barChart>
      <c:catAx>
        <c:axId val="455009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9464"/>
        <c:crosses val="autoZero"/>
        <c:auto val="1"/>
        <c:lblAlgn val="ctr"/>
        <c:lblOffset val="100"/>
        <c:noMultiLvlLbl val="0"/>
      </c:catAx>
      <c:valAx>
        <c:axId val="455009464"/>
        <c:scaling>
          <c:orientation val="minMax"/>
          <c:max val="5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55009856"/>
        <c:crosses val="autoZero"/>
        <c:crossBetween val="between"/>
        <c:majorUnit val="1"/>
        <c:minorUnit val="1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4566059763034342"/>
          <c:w val="1"/>
          <c:h val="0.254339402369656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F9C2-FFC7-4398-AE7B-8D2351BE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747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yepez</dc:creator>
  <cp:keywords/>
  <dc:description/>
  <cp:lastModifiedBy>oscar yepez</cp:lastModifiedBy>
  <cp:revision>2</cp:revision>
  <dcterms:created xsi:type="dcterms:W3CDTF">2015-06-26T05:44:00Z</dcterms:created>
  <dcterms:modified xsi:type="dcterms:W3CDTF">2015-06-26T05:44:00Z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zotero-version="4.0.26.4"&gt;&lt;session id="XxX85oIZ"/&gt;&lt;style id="http://www.zotero.org/styles/apa" hasBibliography="1" bibliographyStyleHasBeenSet="1"/&gt;&lt;prefs&gt;&lt;pref name="fieldType" value="Field"/&gt;&lt;pref name="storeReferences" value="tru</vt:lpwstr>
  </property>
  <property fmtid="{D5CDD505-2E9C-101B-9397-08002B2CF9AE}" pid="3" name="ZOTERO_PREF_2">
    <vt:lpwstr>e"/&gt;&lt;pref name="automaticJournalAbbreviations" value="true"/&gt;&lt;pref name="noteType" value="0"/&gt;&lt;/prefs&gt;&lt;/data&gt;</vt:lpwstr>
  </property>
</Properties>
</file>